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Ubuntu" w:cs="Ubuntu" w:eastAsia="Ubuntu" w:hAnsi="Ubuntu"/>
          <w:sz w:val="28"/>
          <w:szCs w:val="28"/>
        </w:rPr>
      </w:pPr>
      <w:r w:rsidDel="00000000" w:rsidR="00000000" w:rsidRPr="00000000">
        <w:rPr>
          <w:rFonts w:ascii="Ubuntu" w:cs="Ubuntu" w:eastAsia="Ubuntu" w:hAnsi="Ubuntu"/>
          <w:sz w:val="28"/>
          <w:szCs w:val="28"/>
          <w:rtl w:val="0"/>
        </w:rPr>
        <w:t xml:space="preserve">Training Reflections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Ubuntu" w:cs="Ubuntu" w:eastAsia="Ubuntu" w:hAnsi="Ubuntu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10"/>
        <w:tblGridChange w:id="0">
          <w:tblGrid>
            <w:gridCol w:w="9810"/>
          </w:tblGrid>
        </w:tblGridChange>
      </w:tblGrid>
      <w:tr>
        <w:tc>
          <w:tcPr>
            <w:tcBorders>
              <w:top w:color="351c75" w:space="0" w:sz="24" w:val="single"/>
              <w:left w:color="351c75" w:space="0" w:sz="24" w:val="single"/>
              <w:bottom w:color="351c75" w:space="0" w:sz="24" w:val="single"/>
              <w:right w:color="351c75" w:space="0" w:sz="24" w:val="single"/>
            </w:tcBorders>
          </w:tcPr>
          <w:p w:rsidR="00000000" w:rsidDel="00000000" w:rsidP="00000000" w:rsidRDefault="00000000" w:rsidRPr="00000000" w14:paraId="00000003">
            <w:pPr>
              <w:spacing w:line="276" w:lineRule="auto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sz w:val="28"/>
                <w:szCs w:val="28"/>
                <w:rtl w:val="0"/>
              </w:rPr>
              <w:t xml:space="preserve">Feelings</w:t>
            </w:r>
          </w:p>
          <w:p w:rsidR="00000000" w:rsidDel="00000000" w:rsidP="00000000" w:rsidRDefault="00000000" w:rsidRPr="00000000" w14:paraId="00000004">
            <w:pPr>
              <w:spacing w:line="276" w:lineRule="auto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76" w:lineRule="auto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351c75" w:space="0" w:sz="24" w:val="single"/>
              <w:left w:color="351c75" w:space="0" w:sz="24" w:val="single"/>
              <w:bottom w:color="351c75" w:space="0" w:sz="24" w:val="single"/>
              <w:right w:color="351c75" w:space="0" w:sz="24" w:val="single"/>
            </w:tcBorders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sz w:val="28"/>
                <w:szCs w:val="28"/>
                <w:rtl w:val="0"/>
              </w:rPr>
              <w:t xml:space="preserve">Thoughts about the year ahead</w:t>
            </w:r>
          </w:p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351c75" w:space="0" w:sz="24" w:val="single"/>
              <w:left w:color="351c75" w:space="0" w:sz="24" w:val="single"/>
              <w:bottom w:color="351c75" w:space="0" w:sz="24" w:val="single"/>
              <w:right w:color="351c75" w:space="0" w:sz="24" w:val="single"/>
            </w:tcBorders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sz w:val="28"/>
                <w:szCs w:val="28"/>
                <w:rtl w:val="0"/>
              </w:rPr>
              <w:t xml:space="preserve">Improvement points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351c75" w:space="0" w:sz="24" w:val="single"/>
              <w:left w:color="351c75" w:space="0" w:sz="24" w:val="single"/>
              <w:bottom w:color="351c75" w:space="0" w:sz="24" w:val="single"/>
              <w:right w:color="351c75" w:space="0" w:sz="24" w:val="single"/>
            </w:tcBorders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sz w:val="28"/>
                <w:szCs w:val="28"/>
                <w:rtl w:val="0"/>
              </w:rPr>
              <w:t xml:space="preserve">Group key learning points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351c75" w:space="0" w:sz="24" w:val="single"/>
              <w:left w:color="351c75" w:space="0" w:sz="24" w:val="single"/>
              <w:bottom w:color="351c75" w:space="0" w:sz="24" w:val="single"/>
              <w:right w:color="351c75" w:space="0" w:sz="24" w:val="single"/>
            </w:tcBorders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sz w:val="28"/>
                <w:szCs w:val="28"/>
                <w:rtl w:val="0"/>
              </w:rPr>
              <w:t xml:space="preserve">Personal key learning points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351c75" w:space="0" w:sz="24" w:val="single"/>
              <w:left w:color="351c75" w:space="0" w:sz="24" w:val="single"/>
              <w:bottom w:color="351c75" w:space="0" w:sz="24" w:val="single"/>
              <w:right w:color="351c75" w:space="0" w:sz="24" w:val="single"/>
            </w:tcBorders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Fonts w:ascii="Ubuntu" w:cs="Ubuntu" w:eastAsia="Ubuntu" w:hAnsi="Ubuntu"/>
                <w:sz w:val="28"/>
                <w:szCs w:val="28"/>
                <w:rtl w:val="0"/>
              </w:rPr>
              <w:t xml:space="preserve">This training as a song or movie: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Ubuntu" w:cs="Ubuntu" w:eastAsia="Ubuntu" w:hAnsi="Ubuntu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line="276" w:lineRule="auto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-942974</wp:posOffset>
          </wp:positionH>
          <wp:positionV relativeFrom="paragraph">
            <wp:posOffset>-66674</wp:posOffset>
          </wp:positionV>
          <wp:extent cx="7628887" cy="1128713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28887" cy="11287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